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3126A">
      <w:pPr>
        <w:keepNext/>
        <w:widowControl w:val="0"/>
        <w:jc w:val="center"/>
        <w:outlineLvl w:val="0"/>
        <w:rPr>
          <w:rFonts w:ascii="黑体" w:hAnsi="黑体" w:eastAsia="黑体" w:cs="Times New Roman"/>
          <w:b/>
          <w:bCs/>
          <w:color w:val="000000"/>
          <w:kern w:val="2"/>
          <w:sz w:val="32"/>
          <w:szCs w:val="32"/>
          <w:highlight w:val="none"/>
          <w:lang w:val="en-US" w:eastAsia="zh-CN" w:bidi="ar-SA"/>
        </w:rPr>
      </w:pPr>
      <w:bookmarkStart w:id="0" w:name="_Toc27787"/>
      <w:bookmarkStart w:id="1" w:name="_Toc10541"/>
      <w:bookmarkStart w:id="2" w:name="_Toc25898"/>
      <w:bookmarkStart w:id="3" w:name="_Toc28497"/>
      <w:bookmarkStart w:id="4" w:name="_Toc32423"/>
      <w:bookmarkStart w:id="5" w:name="_Toc21190"/>
      <w:bookmarkStart w:id="6" w:name="_Toc24366"/>
      <w:bookmarkStart w:id="7" w:name="_Toc23529"/>
      <w:bookmarkStart w:id="8" w:name="_Toc19107"/>
      <w:bookmarkStart w:id="9" w:name="_Toc6647"/>
      <w:bookmarkStart w:id="10" w:name="_Toc12643"/>
      <w:bookmarkStart w:id="11" w:name="_Toc9193"/>
      <w:bookmarkStart w:id="12" w:name="_Toc23093"/>
      <w:bookmarkStart w:id="13" w:name="_Toc15123"/>
      <w:bookmarkStart w:id="14" w:name="_Toc7089"/>
      <w:bookmarkStart w:id="15" w:name="_Toc13763"/>
      <w:bookmarkStart w:id="16" w:name="_Toc32439"/>
      <w:bookmarkStart w:id="17" w:name="_Toc17003"/>
      <w:bookmarkStart w:id="18" w:name="_Toc34637773"/>
      <w:bookmarkStart w:id="19" w:name="_Toc29765"/>
      <w:bookmarkStart w:id="20" w:name="_Toc8861"/>
      <w:bookmarkStart w:id="21" w:name="_Toc26012"/>
      <w:bookmarkStart w:id="22" w:name="_Toc4244"/>
      <w:bookmarkStart w:id="23" w:name="_Toc22607"/>
      <w:bookmarkStart w:id="24" w:name="_Toc359"/>
      <w:bookmarkStart w:id="25" w:name="_Toc6840"/>
      <w:r>
        <w:rPr>
          <w:rFonts w:hint="eastAsia" w:ascii="黑体" w:hAnsi="黑体" w:eastAsia="黑体" w:cs="Times New Roman"/>
          <w:b/>
          <w:bCs/>
          <w:color w:val="000000"/>
          <w:kern w:val="2"/>
          <w:sz w:val="32"/>
          <w:szCs w:val="32"/>
          <w:highlight w:val="none"/>
          <w:lang w:val="en-US" w:eastAsia="zh-CN" w:bidi="ar-SA"/>
        </w:rPr>
        <w:t>第三章 采购需求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D97A4AB">
      <w:pPr>
        <w:keepNext/>
        <w:keepLines/>
        <w:widowControl w:val="0"/>
        <w:adjustRightInd w:val="0"/>
        <w:snapToGrid w:val="0"/>
        <w:spacing w:before="156" w:beforeLines="50" w:line="360" w:lineRule="auto"/>
        <w:jc w:val="center"/>
        <w:outlineLvl w:val="1"/>
        <w:rPr>
          <w:rFonts w:hint="eastAsia" w:ascii="黑体" w:hAnsi="黑体" w:eastAsia="黑体" w:cs="Times New Roman"/>
          <w:b w:val="0"/>
          <w:bCs w:val="0"/>
          <w:color w:val="000000"/>
          <w:kern w:val="2"/>
          <w:sz w:val="28"/>
          <w:szCs w:val="28"/>
          <w:highlight w:val="none"/>
          <w:lang w:val="en-US" w:eastAsia="zh-CN" w:bidi="ar-SA"/>
        </w:rPr>
      </w:pPr>
      <w:bookmarkStart w:id="26" w:name="_Toc21763"/>
      <w:r>
        <w:rPr>
          <w:rFonts w:hint="eastAsia" w:ascii="黑体" w:hAnsi="黑体" w:eastAsia="黑体" w:cs="Times New Roman"/>
          <w:b w:val="0"/>
          <w:bCs w:val="0"/>
          <w:color w:val="000000"/>
          <w:kern w:val="2"/>
          <w:sz w:val="28"/>
          <w:szCs w:val="28"/>
          <w:highlight w:val="none"/>
          <w:lang w:val="en-US" w:eastAsia="zh-CN" w:bidi="ar-SA"/>
        </w:rPr>
        <w:t>第一节 采购清单一览表</w:t>
      </w:r>
      <w:bookmarkEnd w:id="26"/>
    </w:p>
    <w:tbl>
      <w:tblPr>
        <w:tblStyle w:val="2"/>
        <w:tblpPr w:leftFromText="180" w:rightFromText="180" w:vertAnchor="text" w:horzAnchor="page" w:tblpXSpec="center" w:tblpY="14"/>
        <w:tblOverlap w:val="never"/>
        <w:tblW w:w="93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762"/>
        <w:gridCol w:w="1725"/>
        <w:gridCol w:w="2245"/>
        <w:gridCol w:w="709"/>
        <w:gridCol w:w="750"/>
        <w:gridCol w:w="695"/>
        <w:gridCol w:w="732"/>
      </w:tblGrid>
      <w:tr w14:paraId="4EF369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jc w:val="center"/>
        </w:trPr>
        <w:tc>
          <w:tcPr>
            <w:tcW w:w="721" w:type="dxa"/>
            <w:tcBorders>
              <w:tl2br w:val="nil"/>
              <w:tr2bl w:val="nil"/>
            </w:tcBorders>
            <w:noWrap w:val="0"/>
            <w:vAlign w:val="center"/>
          </w:tcPr>
          <w:p w14:paraId="459BF247">
            <w:pPr>
              <w:adjustRightInd w:val="0"/>
              <w:snapToGrid w:val="0"/>
              <w:spacing w:before="0" w:beforeLines="0" w:line="240" w:lineRule="exact"/>
              <w:jc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包</w:t>
            </w:r>
            <w:r>
              <w:rPr>
                <w:rFonts w:hint="eastAsia" w:ascii="宋体" w:hAnsi="宋体" w:eastAsia="宋体" w:cs="Times New Roman"/>
                <w:color w:val="000000"/>
                <w:szCs w:val="21"/>
                <w:highlight w:val="none"/>
              </w:rPr>
              <w:t>号</w:t>
            </w:r>
          </w:p>
        </w:tc>
        <w:tc>
          <w:tcPr>
            <w:tcW w:w="1762" w:type="dxa"/>
            <w:tcBorders>
              <w:tl2br w:val="nil"/>
              <w:tr2bl w:val="nil"/>
            </w:tcBorders>
            <w:noWrap w:val="0"/>
            <w:vAlign w:val="center"/>
          </w:tcPr>
          <w:p w14:paraId="40AE1202">
            <w:pPr>
              <w:adjustRightInd w:val="0"/>
              <w:snapToGrid w:val="0"/>
              <w:spacing w:before="0" w:beforeLines="0" w:line="240" w:lineRule="exact"/>
              <w:jc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rPr>
              <w:t>包名称</w:t>
            </w:r>
          </w:p>
        </w:tc>
        <w:tc>
          <w:tcPr>
            <w:tcW w:w="1725" w:type="dxa"/>
            <w:tcBorders>
              <w:tl2br w:val="nil"/>
              <w:tr2bl w:val="nil"/>
            </w:tcBorders>
            <w:noWrap w:val="0"/>
            <w:vAlign w:val="center"/>
          </w:tcPr>
          <w:p w14:paraId="5B6C4F7A">
            <w:pPr>
              <w:adjustRightInd w:val="0"/>
              <w:snapToGrid w:val="0"/>
              <w:spacing w:before="0" w:beforeLines="0" w:line="240" w:lineRule="exact"/>
              <w:jc w:val="center"/>
              <w:rPr>
                <w:rFonts w:hint="eastAsia" w:ascii="宋体" w:hAnsi="宋体" w:eastAsia="宋体" w:cs="Times New Roman"/>
                <w:color w:val="000000"/>
                <w:szCs w:val="21"/>
                <w:highlight w:val="none"/>
                <w:lang w:eastAsia="zh-CN"/>
              </w:rPr>
            </w:pPr>
            <w:r>
              <w:rPr>
                <w:rFonts w:hint="eastAsia" w:ascii="宋体" w:hAnsi="宋体" w:eastAsia="宋体" w:cs="宋体"/>
                <w:color w:val="000000"/>
                <w:sz w:val="21"/>
                <w:szCs w:val="21"/>
                <w:highlight w:val="none"/>
                <w:lang w:eastAsia="zh-CN"/>
              </w:rPr>
              <w:t>标的名称</w:t>
            </w:r>
          </w:p>
        </w:tc>
        <w:tc>
          <w:tcPr>
            <w:tcW w:w="2245" w:type="dxa"/>
            <w:tcBorders>
              <w:tl2br w:val="nil"/>
              <w:tr2bl w:val="nil"/>
            </w:tcBorders>
            <w:noWrap w:val="0"/>
            <w:vAlign w:val="center"/>
          </w:tcPr>
          <w:p w14:paraId="7431DFFE">
            <w:pPr>
              <w:adjustRightInd w:val="0"/>
              <w:snapToGrid w:val="0"/>
              <w:spacing w:before="0" w:beforeLines="0" w:line="240" w:lineRule="exact"/>
              <w:jc w:val="center"/>
              <w:rPr>
                <w:rFonts w:hint="eastAsia" w:ascii="宋体" w:hAnsi="宋体" w:eastAsia="宋体" w:cs="Times New Roman"/>
                <w:color w:val="000000"/>
                <w:szCs w:val="21"/>
                <w:highlight w:val="none"/>
                <w:lang w:val="en-US" w:eastAsia="zh-CN"/>
              </w:rPr>
            </w:pPr>
            <w:r>
              <w:rPr>
                <w:rFonts w:hint="eastAsia" w:ascii="宋体" w:hAnsi="宋体" w:eastAsia="宋体" w:cs="宋体"/>
                <w:color w:val="000000"/>
                <w:sz w:val="21"/>
                <w:szCs w:val="21"/>
                <w:highlight w:val="none"/>
              </w:rPr>
              <w:t>简要技术要求</w:t>
            </w:r>
          </w:p>
        </w:tc>
        <w:tc>
          <w:tcPr>
            <w:tcW w:w="709" w:type="dxa"/>
            <w:tcBorders>
              <w:tl2br w:val="nil"/>
              <w:tr2bl w:val="nil"/>
            </w:tcBorders>
            <w:noWrap w:val="0"/>
            <w:vAlign w:val="center"/>
          </w:tcPr>
          <w:p w14:paraId="5DC0F903">
            <w:pPr>
              <w:adjustRightInd w:val="0"/>
              <w:snapToGrid w:val="0"/>
              <w:spacing w:beforeLines="0" w:line="240" w:lineRule="exact"/>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sz w:val="21"/>
                <w:szCs w:val="21"/>
                <w:highlight w:val="none"/>
              </w:rPr>
              <w:t>数量</w:t>
            </w:r>
          </w:p>
        </w:tc>
        <w:tc>
          <w:tcPr>
            <w:tcW w:w="750" w:type="dxa"/>
            <w:tcBorders>
              <w:tl2br w:val="nil"/>
              <w:tr2bl w:val="nil"/>
            </w:tcBorders>
            <w:noWrap w:val="0"/>
            <w:vAlign w:val="center"/>
          </w:tcPr>
          <w:p w14:paraId="1C3A1A0E">
            <w:pPr>
              <w:adjustRightInd w:val="0"/>
              <w:snapToGrid w:val="0"/>
              <w:spacing w:beforeLines="0" w:line="240" w:lineRule="exact"/>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eastAsia="zh-CN"/>
              </w:rPr>
              <w:t>单位</w:t>
            </w:r>
          </w:p>
        </w:tc>
        <w:tc>
          <w:tcPr>
            <w:tcW w:w="695" w:type="dxa"/>
            <w:tcBorders>
              <w:tl2br w:val="nil"/>
              <w:tr2bl w:val="nil"/>
            </w:tcBorders>
            <w:noWrap w:val="0"/>
            <w:vAlign w:val="center"/>
          </w:tcPr>
          <w:p w14:paraId="170A3B72">
            <w:pPr>
              <w:adjustRightInd w:val="0"/>
              <w:snapToGrid w:val="0"/>
              <w:spacing w:beforeLines="0" w:line="2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节能</w:t>
            </w:r>
          </w:p>
          <w:p w14:paraId="66CCAFC9">
            <w:pPr>
              <w:adjustRightInd w:val="0"/>
              <w:snapToGrid w:val="0"/>
              <w:spacing w:beforeLines="0" w:line="240" w:lineRule="exact"/>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产品</w:t>
            </w:r>
          </w:p>
        </w:tc>
        <w:tc>
          <w:tcPr>
            <w:tcW w:w="732" w:type="dxa"/>
            <w:tcBorders>
              <w:tl2br w:val="nil"/>
              <w:tr2bl w:val="nil"/>
            </w:tcBorders>
            <w:noWrap w:val="0"/>
            <w:vAlign w:val="center"/>
          </w:tcPr>
          <w:p w14:paraId="322E7D2D">
            <w:pPr>
              <w:adjustRightInd w:val="0"/>
              <w:snapToGrid w:val="0"/>
              <w:spacing w:beforeLines="0" w:line="2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进口</w:t>
            </w:r>
          </w:p>
          <w:p w14:paraId="09E7C6F3">
            <w:pPr>
              <w:adjustRightInd w:val="0"/>
              <w:snapToGrid w:val="0"/>
              <w:spacing w:beforeLines="0" w:line="240" w:lineRule="exact"/>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产品</w:t>
            </w:r>
          </w:p>
        </w:tc>
      </w:tr>
      <w:tr w14:paraId="1351B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06" w:hRule="atLeast"/>
          <w:jc w:val="center"/>
        </w:trPr>
        <w:tc>
          <w:tcPr>
            <w:tcW w:w="721" w:type="dxa"/>
            <w:tcBorders>
              <w:tl2br w:val="nil"/>
              <w:tr2bl w:val="nil"/>
            </w:tcBorders>
            <w:noWrap w:val="0"/>
            <w:vAlign w:val="center"/>
          </w:tcPr>
          <w:p w14:paraId="776C5CF6">
            <w:pPr>
              <w:adjustRightInd w:val="0"/>
              <w:snapToGrid w:val="0"/>
              <w:spacing w:before="0" w:beforeLines="0" w:line="240" w:lineRule="auto"/>
              <w:jc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1</w:t>
            </w:r>
          </w:p>
        </w:tc>
        <w:tc>
          <w:tcPr>
            <w:tcW w:w="1762" w:type="dxa"/>
            <w:tcBorders>
              <w:tl2br w:val="nil"/>
              <w:tr2bl w:val="nil"/>
            </w:tcBorders>
            <w:noWrap w:val="0"/>
            <w:vAlign w:val="center"/>
          </w:tcPr>
          <w:p w14:paraId="105BCDA9">
            <w:pPr>
              <w:adjustRightInd w:val="0"/>
              <w:snapToGrid w:val="0"/>
              <w:spacing w:before="0" w:beforeLines="0" w:line="240" w:lineRule="auto"/>
              <w:jc w:val="center"/>
              <w:rPr>
                <w:rFonts w:hint="eastAsia" w:ascii="宋体" w:hAnsi="宋体" w:eastAsia="宋体" w:cs="Times New Roman"/>
                <w:color w:val="000000"/>
                <w:szCs w:val="21"/>
                <w:highlight w:val="none"/>
                <w:lang w:eastAsia="zh-CN"/>
              </w:rPr>
            </w:pPr>
            <w:r>
              <w:rPr>
                <w:rFonts w:hint="eastAsia" w:ascii="宋体" w:hAnsi="宋体" w:eastAsia="宋体" w:cs="Times New Roman"/>
                <w:color w:val="000000"/>
                <w:szCs w:val="21"/>
                <w:highlight w:val="none"/>
                <w:lang w:val="en-US" w:eastAsia="zh-CN"/>
              </w:rPr>
              <w:t>株洲市渌口区渌口中学食堂维修及护坡加固工程</w:t>
            </w:r>
          </w:p>
        </w:tc>
        <w:tc>
          <w:tcPr>
            <w:tcW w:w="1725" w:type="dxa"/>
            <w:tcBorders>
              <w:tl2br w:val="nil"/>
              <w:tr2bl w:val="nil"/>
            </w:tcBorders>
            <w:noWrap w:val="0"/>
            <w:vAlign w:val="center"/>
          </w:tcPr>
          <w:p w14:paraId="5712497A">
            <w:pPr>
              <w:adjustRightInd w:val="0"/>
              <w:snapToGrid w:val="0"/>
              <w:spacing w:before="0" w:beforeLines="0" w:line="240" w:lineRule="auto"/>
              <w:jc w:val="center"/>
              <w:rPr>
                <w:rFonts w:hint="eastAsia" w:ascii="宋体" w:hAnsi="宋体" w:eastAsia="宋体" w:cs="Times New Roman"/>
                <w:color w:val="000000"/>
                <w:szCs w:val="21"/>
                <w:highlight w:val="none"/>
                <w:lang w:eastAsia="zh-CN"/>
              </w:rPr>
            </w:pPr>
            <w:r>
              <w:rPr>
                <w:rFonts w:hint="eastAsia" w:ascii="宋体" w:hAnsi="宋体" w:eastAsia="宋体" w:cs="Times New Roman"/>
                <w:color w:val="000000"/>
                <w:szCs w:val="21"/>
                <w:highlight w:val="none"/>
                <w:lang w:val="en-US" w:eastAsia="zh-CN"/>
              </w:rPr>
              <w:t>株洲市渌口区渌口中学食堂维修及护坡加固工程</w:t>
            </w:r>
          </w:p>
        </w:tc>
        <w:tc>
          <w:tcPr>
            <w:tcW w:w="2245" w:type="dxa"/>
            <w:tcBorders>
              <w:tl2br w:val="nil"/>
              <w:tr2bl w:val="nil"/>
            </w:tcBorders>
            <w:noWrap w:val="0"/>
            <w:vAlign w:val="center"/>
          </w:tcPr>
          <w:p w14:paraId="43A6C19C">
            <w:pPr>
              <w:adjustRightInd w:val="0"/>
              <w:snapToGrid w:val="0"/>
              <w:spacing w:before="0" w:beforeLines="0" w:line="240" w:lineRule="auto"/>
              <w:jc w:val="center"/>
              <w:rPr>
                <w:rFonts w:hint="default" w:ascii="宋体" w:hAnsi="宋体" w:eastAsia="宋体" w:cs="Times New Roman"/>
                <w:color w:val="000000"/>
                <w:szCs w:val="21"/>
                <w:highlight w:val="none"/>
                <w:lang w:val="en-US" w:eastAsia="zh-CN"/>
              </w:rPr>
            </w:pPr>
            <w:r>
              <w:rPr>
                <w:rFonts w:hint="eastAsia" w:ascii="宋体" w:hAnsi="宋体" w:eastAsia="宋体" w:cs="Times New Roman"/>
                <w:b/>
                <w:bCs/>
                <w:color w:val="000000"/>
                <w:szCs w:val="21"/>
                <w:highlight w:val="none"/>
                <w:lang w:val="en-US" w:eastAsia="zh-CN"/>
              </w:rPr>
              <w:t>详见采购需求</w:t>
            </w:r>
          </w:p>
        </w:tc>
        <w:tc>
          <w:tcPr>
            <w:tcW w:w="709" w:type="dxa"/>
            <w:tcBorders>
              <w:tl2br w:val="nil"/>
              <w:tr2bl w:val="nil"/>
            </w:tcBorders>
            <w:noWrap w:val="0"/>
            <w:vAlign w:val="center"/>
          </w:tcPr>
          <w:p w14:paraId="4AB864A4">
            <w:pPr>
              <w:adjustRightInd w:val="0"/>
              <w:snapToGrid w:val="0"/>
              <w:spacing w:before="0" w:beforeLines="0" w:line="240" w:lineRule="auto"/>
              <w:jc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1</w:t>
            </w:r>
          </w:p>
        </w:tc>
        <w:tc>
          <w:tcPr>
            <w:tcW w:w="750" w:type="dxa"/>
            <w:tcBorders>
              <w:tl2br w:val="nil"/>
              <w:tr2bl w:val="nil"/>
            </w:tcBorders>
            <w:noWrap w:val="0"/>
            <w:vAlign w:val="center"/>
          </w:tcPr>
          <w:p w14:paraId="702B174A">
            <w:pPr>
              <w:adjustRightInd w:val="0"/>
              <w:snapToGrid w:val="0"/>
              <w:spacing w:before="0" w:beforeLines="0" w:line="240" w:lineRule="auto"/>
              <w:jc w:val="center"/>
              <w:rPr>
                <w:rFonts w:hint="default"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批</w:t>
            </w:r>
          </w:p>
        </w:tc>
        <w:tc>
          <w:tcPr>
            <w:tcW w:w="695" w:type="dxa"/>
            <w:tcBorders>
              <w:tl2br w:val="nil"/>
              <w:tr2bl w:val="nil"/>
            </w:tcBorders>
            <w:noWrap w:val="0"/>
            <w:vAlign w:val="center"/>
          </w:tcPr>
          <w:p w14:paraId="6D0C96DF">
            <w:pPr>
              <w:adjustRightInd w:val="0"/>
              <w:snapToGrid w:val="0"/>
              <w:spacing w:before="0" w:beforeLines="0" w:line="240" w:lineRule="auto"/>
              <w:jc w:val="center"/>
              <w:rPr>
                <w:rFonts w:hint="eastAsia" w:ascii="宋体" w:hAnsi="宋体" w:eastAsia="宋体" w:cs="Times New Roman"/>
                <w:color w:val="000000"/>
                <w:szCs w:val="21"/>
                <w:highlight w:val="none"/>
              </w:rPr>
            </w:pPr>
            <w:r>
              <w:rPr>
                <w:rFonts w:hint="eastAsia" w:ascii="宋体" w:hAnsi="宋体" w:eastAsia="宋体" w:cs="宋体"/>
                <w:color w:val="000000"/>
                <w:spacing w:val="-6"/>
                <w:sz w:val="21"/>
                <w:szCs w:val="21"/>
                <w:highlight w:val="none"/>
                <w:lang w:eastAsia="zh-CN"/>
              </w:rPr>
              <w:t>□</w:t>
            </w:r>
          </w:p>
        </w:tc>
        <w:tc>
          <w:tcPr>
            <w:tcW w:w="732" w:type="dxa"/>
            <w:tcBorders>
              <w:tl2br w:val="nil"/>
              <w:tr2bl w:val="nil"/>
            </w:tcBorders>
            <w:noWrap w:val="0"/>
            <w:vAlign w:val="center"/>
          </w:tcPr>
          <w:p w14:paraId="2F5CC669">
            <w:pPr>
              <w:adjustRightInd w:val="0"/>
              <w:snapToGrid w:val="0"/>
              <w:spacing w:before="0" w:beforeLines="0" w:line="240" w:lineRule="auto"/>
              <w:jc w:val="center"/>
              <w:rPr>
                <w:rFonts w:hint="eastAsia" w:ascii="宋体" w:hAnsi="宋体" w:eastAsia="宋体" w:cs="Times New Roman"/>
                <w:color w:val="000000"/>
                <w:szCs w:val="21"/>
                <w:highlight w:val="none"/>
              </w:rPr>
            </w:pPr>
            <w:r>
              <w:rPr>
                <w:rFonts w:hint="eastAsia" w:ascii="宋体" w:hAnsi="宋体" w:eastAsia="宋体" w:cs="宋体"/>
                <w:color w:val="000000"/>
                <w:spacing w:val="-6"/>
                <w:sz w:val="21"/>
                <w:szCs w:val="21"/>
                <w:highlight w:val="none"/>
                <w:lang w:eastAsia="zh-CN"/>
              </w:rPr>
              <w:t>□</w:t>
            </w:r>
          </w:p>
        </w:tc>
      </w:tr>
    </w:tbl>
    <w:p w14:paraId="222E12BE">
      <w:pPr>
        <w:adjustRightInd w:val="0"/>
        <w:snapToGrid w:val="0"/>
        <w:spacing w:before="0" w:beforeLines="0" w:line="400" w:lineRule="exact"/>
        <w:ind w:firstLine="0" w:firstLineChars="0"/>
        <w:jc w:val="left"/>
        <w:rPr>
          <w:rFonts w:hint="eastAsia" w:ascii="宋体" w:hAnsi="宋体" w:eastAsia="宋体" w:cs="Times New Roman"/>
          <w:bCs/>
          <w:color w:val="000000"/>
          <w:szCs w:val="21"/>
          <w:highlight w:val="none"/>
        </w:rPr>
      </w:pPr>
      <w:r>
        <w:rPr>
          <w:rFonts w:hint="eastAsia" w:ascii="宋体" w:hAnsi="宋体" w:eastAsia="宋体" w:cs="Times New Roman"/>
          <w:bCs/>
          <w:color w:val="000000"/>
          <w:szCs w:val="21"/>
          <w:highlight w:val="none"/>
        </w:rPr>
        <w:t>注：1</w:t>
      </w:r>
      <w:r>
        <w:rPr>
          <w:rFonts w:hint="eastAsia" w:ascii="宋体" w:hAnsi="宋体" w:eastAsia="宋体" w:cs="Times New Roman"/>
          <w:bCs/>
          <w:color w:val="000000"/>
          <w:szCs w:val="21"/>
          <w:highlight w:val="none"/>
          <w:lang w:val="en-US" w:eastAsia="zh-CN"/>
        </w:rPr>
        <w:t>.</w:t>
      </w:r>
      <w:r>
        <w:rPr>
          <w:rFonts w:hint="eastAsia" w:ascii="宋体" w:hAnsi="宋体" w:eastAsia="宋体" w:cs="Times New Roman"/>
          <w:bCs/>
          <w:color w:val="000000"/>
          <w:szCs w:val="21"/>
          <w:highlight w:val="none"/>
        </w:rPr>
        <w:t>“包”为最小合同单位。每“包”内容应细化到具体的标的。</w:t>
      </w:r>
    </w:p>
    <w:p w14:paraId="2D801258">
      <w:pPr>
        <w:adjustRightInd w:val="0"/>
        <w:snapToGrid w:val="0"/>
        <w:spacing w:before="0" w:beforeLines="0" w:line="400" w:lineRule="exact"/>
        <w:ind w:firstLine="420" w:firstLineChars="200"/>
        <w:jc w:val="left"/>
        <w:rPr>
          <w:rFonts w:hint="eastAsia" w:ascii="宋体" w:hAnsi="宋体" w:eastAsia="宋体" w:cs="Times New Roman"/>
          <w:b w:val="0"/>
          <w:bCs/>
          <w:color w:val="000000"/>
          <w:sz w:val="21"/>
          <w:szCs w:val="21"/>
          <w:highlight w:val="none"/>
          <w:lang w:val="en-US" w:eastAsia="zh-CN"/>
        </w:rPr>
      </w:pPr>
      <w:r>
        <w:rPr>
          <w:rFonts w:hint="eastAsia" w:ascii="宋体" w:hAnsi="宋体" w:eastAsia="宋体" w:cs="Times New Roman"/>
          <w:bCs/>
          <w:color w:val="000000"/>
          <w:kern w:val="2"/>
          <w:szCs w:val="21"/>
          <w:highlight w:val="none"/>
          <w:lang w:val="en-US" w:eastAsia="zh-CN"/>
        </w:rPr>
        <w:t>2.</w:t>
      </w:r>
      <w:r>
        <w:rPr>
          <w:rFonts w:hint="eastAsia" w:ascii="宋体" w:hAnsi="宋体" w:eastAsia="宋体" w:cs="Times New Roman"/>
          <w:bCs/>
          <w:color w:val="000000"/>
          <w:kern w:val="2"/>
          <w:szCs w:val="21"/>
          <w:highlight w:val="none"/>
        </w:rPr>
        <w:t>供应商应在响应文件“分项报价明细表”中按</w:t>
      </w:r>
      <w:r>
        <w:rPr>
          <w:rFonts w:hint="eastAsia" w:ascii="宋体" w:hAnsi="宋体" w:eastAsia="宋体" w:cs="Times New Roman"/>
          <w:bCs/>
          <w:color w:val="000000"/>
          <w:szCs w:val="21"/>
          <w:highlight w:val="none"/>
        </w:rPr>
        <w:t>标的名称</w:t>
      </w:r>
      <w:r>
        <w:rPr>
          <w:rFonts w:hint="eastAsia" w:ascii="宋体" w:hAnsi="宋体" w:eastAsia="宋体" w:cs="Times New Roman"/>
          <w:bCs/>
          <w:color w:val="000000"/>
          <w:kern w:val="2"/>
          <w:szCs w:val="21"/>
          <w:highlight w:val="none"/>
        </w:rPr>
        <w:t>顺序逐项填写，且每个标的均需按谈判文件规定报价。如有缺项、漏项，其</w:t>
      </w:r>
      <w:r>
        <w:rPr>
          <w:rFonts w:hint="eastAsia" w:ascii="宋体" w:hAnsi="宋体" w:eastAsia="宋体" w:cs="Times New Roman"/>
          <w:b w:val="0"/>
          <w:bCs/>
          <w:color w:val="000000"/>
          <w:kern w:val="2"/>
          <w:szCs w:val="21"/>
          <w:highlight w:val="none"/>
        </w:rPr>
        <w:t>响应无效</w:t>
      </w:r>
      <w:r>
        <w:rPr>
          <w:rFonts w:hint="eastAsia" w:ascii="宋体" w:hAnsi="宋体" w:eastAsia="宋体" w:cs="Times New Roman"/>
          <w:bCs/>
          <w:color w:val="000000"/>
          <w:kern w:val="2"/>
          <w:szCs w:val="21"/>
          <w:highlight w:val="none"/>
        </w:rPr>
        <w:t>。</w:t>
      </w:r>
    </w:p>
    <w:p w14:paraId="291E1368">
      <w:pPr>
        <w:adjustRightInd w:val="0"/>
        <w:snapToGrid w:val="0"/>
        <w:spacing w:before="156" w:beforeLines="50" w:line="360" w:lineRule="auto"/>
        <w:ind w:firstLine="0" w:firstLineChars="0"/>
        <w:jc w:val="center"/>
        <w:rPr>
          <w:rFonts w:hint="eastAsia" w:ascii="黑体" w:hAnsi="黑体" w:eastAsia="黑体" w:cs="Times New Roman"/>
          <w:b w:val="0"/>
          <w:bCs w:val="0"/>
          <w:color w:val="000000"/>
          <w:sz w:val="28"/>
          <w:szCs w:val="28"/>
          <w:highlight w:val="none"/>
          <w:lang w:val="en-US" w:eastAsia="zh-CN"/>
        </w:rPr>
      </w:pPr>
    </w:p>
    <w:p w14:paraId="586CFEFC">
      <w:pPr>
        <w:rPr>
          <w:rFonts w:hint="eastAsia" w:ascii="黑体" w:hAnsi="黑体" w:eastAsia="黑体" w:cs="Times New Roman"/>
          <w:b w:val="0"/>
          <w:bCs w:val="0"/>
          <w:color w:val="000000"/>
          <w:sz w:val="28"/>
          <w:szCs w:val="28"/>
          <w:highlight w:val="none"/>
          <w:lang w:val="en-US" w:eastAsia="zh-CN"/>
        </w:rPr>
      </w:pPr>
      <w:r>
        <w:rPr>
          <w:rFonts w:hint="eastAsia" w:ascii="黑体" w:hAnsi="黑体" w:eastAsia="黑体" w:cs="Times New Roman"/>
          <w:b w:val="0"/>
          <w:bCs w:val="0"/>
          <w:color w:val="000000"/>
          <w:sz w:val="28"/>
          <w:szCs w:val="28"/>
          <w:highlight w:val="none"/>
          <w:lang w:val="en-US" w:eastAsia="zh-CN"/>
        </w:rPr>
        <w:br w:type="page"/>
      </w:r>
    </w:p>
    <w:p w14:paraId="6D43325F">
      <w:pPr>
        <w:keepNext/>
        <w:keepLines/>
        <w:widowControl w:val="0"/>
        <w:adjustRightInd w:val="0"/>
        <w:snapToGrid w:val="0"/>
        <w:spacing w:before="156" w:beforeLines="50" w:line="360" w:lineRule="auto"/>
        <w:ind w:firstLineChars="200"/>
        <w:jc w:val="center"/>
        <w:outlineLvl w:val="1"/>
        <w:rPr>
          <w:rFonts w:hint="eastAsia" w:ascii="黑体" w:hAnsi="黑体" w:eastAsia="黑体" w:cs="Times New Roman"/>
          <w:b w:val="0"/>
          <w:bCs w:val="0"/>
          <w:color w:val="000000"/>
          <w:kern w:val="2"/>
          <w:sz w:val="28"/>
          <w:szCs w:val="28"/>
          <w:highlight w:val="none"/>
          <w:lang w:val="en-US" w:eastAsia="zh-CN" w:bidi="ar-SA"/>
        </w:rPr>
      </w:pPr>
      <w:r>
        <w:rPr>
          <w:rFonts w:hint="eastAsia" w:ascii="黑体" w:hAnsi="黑体" w:eastAsia="黑体" w:cs="Times New Roman"/>
          <w:b w:val="0"/>
          <w:bCs w:val="0"/>
          <w:color w:val="000000"/>
          <w:kern w:val="2"/>
          <w:sz w:val="28"/>
          <w:szCs w:val="28"/>
          <w:highlight w:val="none"/>
          <w:lang w:val="en-US" w:eastAsia="zh-CN" w:bidi="ar-SA"/>
        </w:rPr>
        <w:t>第二节 商务技术要求</w:t>
      </w:r>
    </w:p>
    <w:p w14:paraId="48E695FD">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一、项目名称：株洲市渌口区渌口中学食堂维修及护坡加固工程</w:t>
      </w:r>
    </w:p>
    <w:p w14:paraId="74C6B1B6">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default"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二、建设地点：株洲市渌口区渌口中学校内。</w:t>
      </w:r>
    </w:p>
    <w:p w14:paraId="044A591A">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default"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三、项目概况：本项目为株洲市渌口区渌口中学食堂维修及护坡加固工程，主要改造内容为食堂一、二层地面防水，墙面、吊顶改造、新增空调系统，屋面防水改造及新建护坡工程等。资金来源为上级专项资金。</w:t>
      </w:r>
    </w:p>
    <w:p w14:paraId="4A559A93">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四、招标范围：本项目设计施工图范围内的全部工程，具体详见采购人提供的工程量清单为准。</w:t>
      </w:r>
    </w:p>
    <w:p w14:paraId="3527D369">
      <w:pPr>
        <w:keepNext w:val="0"/>
        <w:keepLines w:val="0"/>
        <w:pageBreakBefore w:val="0"/>
        <w:widowControl w:val="0"/>
        <w:kinsoku/>
        <w:wordWrap/>
        <w:overflowPunct/>
        <w:topLinePunct w:val="0"/>
        <w:autoSpaceDE/>
        <w:autoSpaceDN/>
        <w:bidi w:val="0"/>
        <w:adjustRightInd/>
        <w:snapToGrid/>
        <w:spacing w:line="408" w:lineRule="auto"/>
        <w:ind w:left="0" w:leftChars="0" w:right="0" w:rightChars="0" w:firstLine="420" w:firstLineChars="200"/>
        <w:textAlignment w:val="auto"/>
        <w:rPr>
          <w:rFonts w:hint="eastAsia" w:ascii="宋体" w:hAnsi="宋体" w:eastAsia="宋体" w:cs="宋体"/>
          <w:b w:val="0"/>
          <w:bCs w:val="0"/>
          <w:color w:val="000000"/>
          <w:kern w:val="0"/>
          <w:szCs w:val="21"/>
          <w:highlight w:val="none"/>
        </w:rPr>
      </w:pPr>
      <w:bookmarkStart w:id="27" w:name="_Toc29071"/>
      <w:bookmarkStart w:id="28" w:name="_Toc1072"/>
      <w:r>
        <w:rPr>
          <w:rFonts w:hint="eastAsia" w:ascii="宋体" w:hAnsi="宋体" w:eastAsia="宋体" w:cs="宋体"/>
          <w:b w:val="0"/>
          <w:bCs w:val="0"/>
          <w:color w:val="000000"/>
          <w:highlight w:val="none"/>
          <w:lang w:val="en-US" w:eastAsia="zh-CN"/>
        </w:rPr>
        <w:t>五</w:t>
      </w:r>
      <w:r>
        <w:rPr>
          <w:rFonts w:hint="eastAsia" w:ascii="宋体" w:hAnsi="宋体" w:eastAsia="宋体" w:cs="宋体"/>
          <w:b w:val="0"/>
          <w:bCs w:val="0"/>
          <w:color w:val="000000"/>
          <w:highlight w:val="none"/>
        </w:rPr>
        <w:t>、</w:t>
      </w:r>
      <w:r>
        <w:rPr>
          <w:rFonts w:hint="eastAsia" w:ascii="宋体" w:hAnsi="宋体" w:eastAsia="宋体" w:cs="宋体"/>
          <w:b w:val="0"/>
          <w:bCs w:val="0"/>
          <w:color w:val="000000"/>
          <w:kern w:val="0"/>
          <w:szCs w:val="21"/>
          <w:highlight w:val="none"/>
        </w:rPr>
        <w:t>工期要求：</w:t>
      </w:r>
      <w:r>
        <w:rPr>
          <w:rFonts w:hint="eastAsia" w:ascii="宋体" w:hAnsi="宋体" w:eastAsia="宋体" w:cs="宋体"/>
          <w:b/>
          <w:bCs/>
          <w:i w:val="0"/>
          <w:iCs w:val="0"/>
          <w:caps w:val="0"/>
          <w:color w:val="000000"/>
          <w:spacing w:val="0"/>
          <w:sz w:val="21"/>
          <w:szCs w:val="21"/>
          <w:lang w:val="en-US" w:eastAsia="zh-CN"/>
        </w:rPr>
        <w:t>25</w:t>
      </w:r>
      <w:r>
        <w:rPr>
          <w:rFonts w:hint="eastAsia" w:ascii="宋体" w:hAnsi="宋体" w:eastAsia="宋体" w:cs="宋体"/>
          <w:b/>
          <w:bCs/>
          <w:i w:val="0"/>
          <w:iCs w:val="0"/>
          <w:caps w:val="0"/>
          <w:color w:val="000000"/>
          <w:spacing w:val="0"/>
          <w:sz w:val="21"/>
          <w:szCs w:val="21"/>
          <w:lang w:eastAsia="zh-CN"/>
        </w:rPr>
        <w:t>日历天</w:t>
      </w:r>
      <w:r>
        <w:rPr>
          <w:rFonts w:hint="eastAsia" w:ascii="宋体" w:hAnsi="宋体" w:eastAsia="宋体" w:cs="宋体"/>
          <w:b/>
          <w:bCs/>
          <w:i w:val="0"/>
          <w:iCs w:val="0"/>
          <w:caps w:val="0"/>
          <w:color w:val="000000"/>
          <w:spacing w:val="0"/>
          <w:sz w:val="21"/>
          <w:szCs w:val="21"/>
          <w:lang w:val="en-US" w:eastAsia="zh-CN"/>
        </w:rPr>
        <w:t>，</w:t>
      </w:r>
      <w:r>
        <w:rPr>
          <w:rFonts w:hint="eastAsia" w:ascii="宋体" w:hAnsi="宋体" w:eastAsia="宋体" w:cs="宋体"/>
          <w:b/>
          <w:bCs/>
          <w:i w:val="0"/>
          <w:iCs w:val="0"/>
          <w:caps w:val="0"/>
          <w:color w:val="000000"/>
          <w:spacing w:val="0"/>
          <w:sz w:val="21"/>
          <w:szCs w:val="21"/>
        </w:rPr>
        <w:t>整体工程须在2026年8月</w:t>
      </w:r>
      <w:r>
        <w:rPr>
          <w:rFonts w:hint="eastAsia" w:ascii="宋体" w:hAnsi="宋体" w:eastAsia="宋体" w:cs="宋体"/>
          <w:b/>
          <w:bCs/>
          <w:i w:val="0"/>
          <w:iCs w:val="0"/>
          <w:caps w:val="0"/>
          <w:color w:val="000000"/>
          <w:spacing w:val="0"/>
          <w:sz w:val="21"/>
          <w:szCs w:val="21"/>
          <w:lang w:val="en-US" w:eastAsia="zh-CN"/>
        </w:rPr>
        <w:t>26</w:t>
      </w:r>
      <w:r>
        <w:rPr>
          <w:rFonts w:hint="eastAsia" w:ascii="宋体" w:hAnsi="宋体" w:eastAsia="宋体" w:cs="宋体"/>
          <w:b/>
          <w:bCs/>
          <w:i w:val="0"/>
          <w:iCs w:val="0"/>
          <w:caps w:val="0"/>
          <w:color w:val="000000"/>
          <w:spacing w:val="0"/>
          <w:sz w:val="21"/>
          <w:szCs w:val="21"/>
        </w:rPr>
        <w:t>日前通过竣工验收并交付使用，确保项目按期投入、保障秋季正常开学。投标人在投标文件中须根据项目概况及清单内容编制符合项目要求的进度计划表。</w:t>
      </w:r>
    </w:p>
    <w:p w14:paraId="79310945">
      <w:pPr>
        <w:keepNext w:val="0"/>
        <w:keepLines w:val="0"/>
        <w:pageBreakBefore w:val="0"/>
        <w:widowControl w:val="0"/>
        <w:kinsoku/>
        <w:wordWrap/>
        <w:overflowPunct/>
        <w:topLinePunct w:val="0"/>
        <w:autoSpaceDE/>
        <w:autoSpaceDN/>
        <w:bidi w:val="0"/>
        <w:adjustRightInd/>
        <w:snapToGrid/>
        <w:spacing w:line="408" w:lineRule="auto"/>
        <w:ind w:left="0" w:leftChars="0" w:right="0" w:rightChars="0" w:firstLine="420" w:firstLineChars="200"/>
        <w:textAlignment w:val="auto"/>
        <w:rPr>
          <w:rFonts w:hint="eastAsia" w:ascii="宋体" w:hAnsi="宋体" w:eastAsia="宋体" w:cs="宋体"/>
          <w:b w:val="0"/>
          <w:bCs w:val="0"/>
          <w:color w:val="000000"/>
          <w:kern w:val="0"/>
          <w:szCs w:val="21"/>
          <w:highlight w:val="none"/>
        </w:rPr>
      </w:pPr>
      <w:r>
        <w:rPr>
          <w:rFonts w:hint="eastAsia" w:ascii="宋体" w:hAnsi="宋体" w:eastAsia="宋体" w:cs="宋体"/>
          <w:b w:val="0"/>
          <w:bCs w:val="0"/>
          <w:color w:val="000000"/>
          <w:kern w:val="0"/>
          <w:szCs w:val="21"/>
          <w:highlight w:val="none"/>
          <w:lang w:val="en-US" w:eastAsia="zh-CN"/>
        </w:rPr>
        <w:t>六、</w:t>
      </w:r>
      <w:r>
        <w:rPr>
          <w:rFonts w:hint="eastAsia" w:ascii="宋体" w:hAnsi="宋体" w:eastAsia="宋体" w:cs="宋体"/>
          <w:b w:val="0"/>
          <w:bCs w:val="0"/>
          <w:color w:val="000000"/>
          <w:kern w:val="0"/>
          <w:szCs w:val="21"/>
          <w:highlight w:val="none"/>
        </w:rPr>
        <w:t>质量要求：达到国家工程施工质量验收规范合格工程标准，一次交验合格。</w:t>
      </w:r>
    </w:p>
    <w:p w14:paraId="760950BD">
      <w:pPr>
        <w:keepNext w:val="0"/>
        <w:keepLines w:val="0"/>
        <w:pageBreakBefore w:val="0"/>
        <w:widowControl w:val="0"/>
        <w:kinsoku/>
        <w:wordWrap/>
        <w:overflowPunct/>
        <w:topLinePunct w:val="0"/>
        <w:autoSpaceDE/>
        <w:autoSpaceDN/>
        <w:bidi w:val="0"/>
        <w:adjustRightInd/>
        <w:snapToGrid/>
        <w:spacing w:line="408" w:lineRule="auto"/>
        <w:ind w:left="0" w:leftChars="0" w:right="0" w:rightChars="0" w:firstLine="420" w:firstLineChars="200"/>
        <w:textAlignment w:val="auto"/>
        <w:rPr>
          <w:rFonts w:hint="eastAsia" w:ascii="宋体" w:hAnsi="宋体" w:eastAsia="宋体" w:cs="宋体"/>
          <w:b w:val="0"/>
          <w:bCs w:val="0"/>
          <w:color w:val="000000"/>
          <w:kern w:val="0"/>
          <w:szCs w:val="21"/>
          <w:highlight w:val="none"/>
        </w:rPr>
      </w:pPr>
      <w:r>
        <w:rPr>
          <w:rFonts w:hint="eastAsia" w:ascii="宋体" w:hAnsi="宋体" w:eastAsia="宋体" w:cs="宋体"/>
          <w:b w:val="0"/>
          <w:bCs w:val="0"/>
          <w:color w:val="000000"/>
          <w:kern w:val="0"/>
          <w:szCs w:val="21"/>
          <w:highlight w:val="none"/>
          <w:lang w:val="en-US" w:eastAsia="zh-CN"/>
        </w:rPr>
        <w:t>七、</w:t>
      </w:r>
      <w:r>
        <w:rPr>
          <w:rFonts w:hint="eastAsia" w:ascii="宋体" w:hAnsi="宋体" w:eastAsia="宋体" w:cs="宋体"/>
          <w:b w:val="0"/>
          <w:bCs w:val="0"/>
          <w:color w:val="000000"/>
          <w:kern w:val="0"/>
          <w:szCs w:val="21"/>
          <w:highlight w:val="none"/>
        </w:rPr>
        <w:t>保修要求：</w:t>
      </w:r>
      <w:r>
        <w:rPr>
          <w:rFonts w:hint="eastAsia" w:ascii="宋体" w:hAnsi="宋体" w:eastAsia="宋体" w:cs="宋体"/>
          <w:b w:val="0"/>
          <w:bCs w:val="0"/>
          <w:color w:val="000000"/>
          <w:szCs w:val="21"/>
          <w:highlight w:val="none"/>
          <w:lang w:val="en-US" w:eastAsia="zh-CN"/>
        </w:rPr>
        <w:t>按国务院279号</w:t>
      </w:r>
      <w:r>
        <w:rPr>
          <w:rFonts w:hint="eastAsia" w:ascii="宋体" w:hAnsi="宋体" w:eastAsia="宋体" w:cs="宋体"/>
          <w:b w:val="0"/>
          <w:bCs w:val="0"/>
          <w:color w:val="000000"/>
          <w:szCs w:val="21"/>
          <w:highlight w:val="none"/>
        </w:rPr>
        <w:t>院令及国家建设部第80号部令及国家有关规定实行工程保修</w:t>
      </w:r>
      <w:r>
        <w:rPr>
          <w:rFonts w:hint="eastAsia" w:ascii="宋体" w:hAnsi="宋体" w:eastAsia="宋体" w:cs="宋体"/>
          <w:b w:val="0"/>
          <w:bCs w:val="0"/>
          <w:color w:val="000000"/>
          <w:kern w:val="0"/>
          <w:szCs w:val="21"/>
          <w:highlight w:val="none"/>
        </w:rPr>
        <w:t>。</w:t>
      </w:r>
      <w:r>
        <w:rPr>
          <w:rFonts w:hint="eastAsia" w:ascii="宋体" w:hAnsi="宋体" w:eastAsia="宋体" w:cs="宋体"/>
          <w:b w:val="0"/>
          <w:bCs w:val="0"/>
          <w:color w:val="000000"/>
          <w:szCs w:val="21"/>
          <w:highlight w:val="none"/>
        </w:rPr>
        <w:t>保修期间进场维修，保证无偿修理完好，否则，由采购人安排维修，维修费在保修预留金中双倍扣除。</w:t>
      </w:r>
    </w:p>
    <w:bookmarkEnd w:id="27"/>
    <w:bookmarkEnd w:id="28"/>
    <w:p w14:paraId="7C93672A">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kern w:val="0"/>
        </w:rPr>
      </w:pPr>
      <w:r>
        <w:rPr>
          <w:rFonts w:hint="eastAsia" w:ascii="宋体" w:hAnsi="宋体" w:eastAsia="宋体" w:cs="宋体"/>
          <w:b w:val="0"/>
          <w:bCs w:val="0"/>
          <w:color w:val="000000"/>
          <w:kern w:val="0"/>
          <w:lang w:val="en-US" w:eastAsia="zh-CN"/>
        </w:rPr>
        <w:t>八、</w:t>
      </w:r>
      <w:bookmarkStart w:id="29" w:name="_Toc225336550"/>
      <w:r>
        <w:rPr>
          <w:rFonts w:hint="eastAsia" w:ascii="宋体" w:hAnsi="宋体" w:eastAsia="宋体" w:cs="宋体"/>
          <w:b w:val="0"/>
          <w:bCs w:val="0"/>
          <w:color w:val="000000"/>
          <w:kern w:val="0"/>
        </w:rPr>
        <w:t>项目实施要求</w:t>
      </w:r>
      <w:bookmarkEnd w:id="29"/>
    </w:p>
    <w:p w14:paraId="48035042">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highlight w:val="none"/>
        </w:rPr>
      </w:pPr>
      <w:r>
        <w:rPr>
          <w:rFonts w:hint="eastAsia" w:ascii="宋体" w:hAnsi="宋体" w:eastAsia="宋体" w:cs="宋体"/>
          <w:b w:val="0"/>
          <w:bCs w:val="0"/>
          <w:color w:val="000000"/>
          <w:kern w:val="0"/>
          <w:highlight w:val="none"/>
        </w:rPr>
        <w:t>1</w:t>
      </w:r>
      <w:r>
        <w:rPr>
          <w:rFonts w:hint="eastAsia" w:ascii="宋体" w:hAnsi="宋体" w:eastAsia="宋体" w:cs="宋体"/>
          <w:b w:val="0"/>
          <w:bCs w:val="0"/>
          <w:color w:val="000000"/>
          <w:kern w:val="0"/>
          <w:highlight w:val="none"/>
          <w:lang w:eastAsia="zh-CN"/>
        </w:rPr>
        <w:t>、</w:t>
      </w:r>
      <w:r>
        <w:rPr>
          <w:rFonts w:hint="eastAsia" w:ascii="宋体" w:hAnsi="宋体" w:eastAsia="宋体" w:cs="宋体"/>
          <w:b w:val="0"/>
          <w:bCs w:val="0"/>
          <w:color w:val="000000"/>
          <w:kern w:val="0"/>
          <w:highlight w:val="none"/>
        </w:rPr>
        <w:t>人员配备要求</w:t>
      </w:r>
    </w:p>
    <w:p w14:paraId="69CEF040">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highlight w:val="none"/>
        </w:rPr>
      </w:pPr>
      <w:r>
        <w:rPr>
          <w:rFonts w:hint="eastAsia" w:ascii="宋体" w:hAnsi="宋体" w:eastAsia="宋体" w:cs="宋体"/>
          <w:b w:val="0"/>
          <w:bCs w:val="0"/>
          <w:color w:val="000000"/>
          <w:kern w:val="0"/>
          <w:highlight w:val="none"/>
        </w:rPr>
        <w:t>1.1本采购项目在采购阶段施工项目部关键岗位人员配备数量为施工项目负责人1人</w:t>
      </w:r>
      <w:r>
        <w:rPr>
          <w:rFonts w:hint="eastAsia" w:ascii="宋体" w:hAnsi="宋体" w:eastAsia="宋体" w:cs="宋体"/>
          <w:b w:val="0"/>
          <w:bCs w:val="0"/>
          <w:color w:val="000000"/>
          <w:kern w:val="0"/>
          <w:highlight w:val="none"/>
          <w:lang w:eastAsia="zh-CN"/>
        </w:rPr>
        <w:t>；</w:t>
      </w:r>
      <w:r>
        <w:rPr>
          <w:rFonts w:hint="eastAsia" w:ascii="宋体" w:hAnsi="宋体" w:eastAsia="宋体" w:cs="宋体"/>
          <w:b w:val="0"/>
          <w:bCs w:val="0"/>
          <w:color w:val="000000"/>
          <w:kern w:val="0"/>
          <w:highlight w:val="none"/>
        </w:rPr>
        <w:t>技术负责人、专职安全员、施工员、质量员在采购阶段不作要求，但成交供应商在成交后应根据本项目建设规模按照湘建建</w:t>
      </w:r>
      <w:r>
        <w:rPr>
          <w:rFonts w:hint="eastAsia" w:ascii="宋体" w:hAnsi="宋体" w:eastAsia="宋体" w:cs="宋体"/>
          <w:b w:val="0"/>
          <w:bCs w:val="0"/>
          <w:color w:val="000000"/>
          <w:kern w:val="0"/>
          <w:highlight w:val="none"/>
          <w:lang w:eastAsia="zh-CN"/>
        </w:rPr>
        <w:t>〔2020〕</w:t>
      </w:r>
      <w:r>
        <w:rPr>
          <w:rFonts w:hint="eastAsia" w:ascii="宋体" w:hAnsi="宋体" w:eastAsia="宋体" w:cs="宋体"/>
          <w:b w:val="0"/>
          <w:bCs w:val="0"/>
          <w:color w:val="000000"/>
          <w:kern w:val="0"/>
          <w:highlight w:val="none"/>
        </w:rPr>
        <w:t>208号文件足额配备相应岗位人员</w:t>
      </w:r>
      <w:r>
        <w:rPr>
          <w:rFonts w:hint="eastAsia" w:ascii="宋体" w:hAnsi="宋体" w:eastAsia="宋体" w:cs="宋体"/>
          <w:b w:val="0"/>
          <w:bCs w:val="0"/>
          <w:color w:val="000000"/>
          <w:kern w:val="0"/>
          <w:highlight w:val="none"/>
          <w:lang w:eastAsia="zh-CN"/>
        </w:rPr>
        <w:t>。</w:t>
      </w:r>
    </w:p>
    <w:p w14:paraId="26F9745E">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highlight w:val="none"/>
          <w:lang w:eastAsia="zh-CN"/>
        </w:rPr>
      </w:pPr>
      <w:r>
        <w:rPr>
          <w:rFonts w:hint="eastAsia" w:ascii="宋体" w:hAnsi="宋体" w:eastAsia="宋体" w:cs="宋体"/>
          <w:b w:val="0"/>
          <w:bCs w:val="0"/>
          <w:color w:val="000000"/>
          <w:kern w:val="0"/>
          <w:highlight w:val="none"/>
        </w:rPr>
        <w:t>1.2供应商应确保投标</w:t>
      </w:r>
      <w:r>
        <w:rPr>
          <w:rFonts w:hint="eastAsia" w:ascii="宋体" w:hAnsi="宋体" w:eastAsia="宋体" w:cs="宋体"/>
          <w:b w:val="0"/>
          <w:bCs w:val="0"/>
          <w:color w:val="000000"/>
          <w:kern w:val="0"/>
          <w:highlight w:val="none"/>
          <w:lang w:eastAsia="zh-CN"/>
        </w:rPr>
        <w:t>、合同签订</w:t>
      </w:r>
      <w:r>
        <w:rPr>
          <w:rFonts w:hint="eastAsia" w:ascii="宋体" w:hAnsi="宋体" w:eastAsia="宋体" w:cs="宋体"/>
          <w:b w:val="0"/>
          <w:bCs w:val="0"/>
          <w:color w:val="000000"/>
          <w:kern w:val="0"/>
          <w:highlight w:val="none"/>
        </w:rPr>
        <w:t>时所配备的施工项目部关键</w:t>
      </w:r>
      <w:r>
        <w:rPr>
          <w:rFonts w:hint="eastAsia" w:ascii="宋体" w:hAnsi="宋体" w:eastAsia="宋体" w:cs="宋体"/>
          <w:b w:val="0"/>
          <w:bCs w:val="0"/>
          <w:color w:val="000000"/>
          <w:kern w:val="0"/>
          <w:highlight w:val="none"/>
          <w:lang w:eastAsia="zh-CN"/>
        </w:rPr>
        <w:t>岗位</w:t>
      </w:r>
      <w:r>
        <w:rPr>
          <w:rFonts w:hint="eastAsia" w:ascii="宋体" w:hAnsi="宋体" w:eastAsia="宋体" w:cs="宋体"/>
          <w:b w:val="0"/>
          <w:bCs w:val="0"/>
          <w:color w:val="000000"/>
          <w:kern w:val="0"/>
          <w:highlight w:val="none"/>
        </w:rPr>
        <w:t>人员与实际现场施工项目部关键岗位人员一致</w:t>
      </w:r>
      <w:r>
        <w:rPr>
          <w:rFonts w:hint="eastAsia" w:ascii="宋体" w:hAnsi="宋体" w:eastAsia="宋体" w:cs="宋体"/>
          <w:b w:val="0"/>
          <w:bCs w:val="0"/>
          <w:color w:val="000000"/>
          <w:kern w:val="0"/>
          <w:highlight w:val="none"/>
          <w:lang w:eastAsia="zh-CN"/>
        </w:rPr>
        <w:t>，</w:t>
      </w:r>
      <w:r>
        <w:rPr>
          <w:rFonts w:hint="eastAsia" w:ascii="宋体" w:hAnsi="宋体" w:eastAsia="宋体" w:cs="宋体"/>
          <w:b w:val="0"/>
          <w:bCs w:val="0"/>
          <w:color w:val="000000"/>
          <w:kern w:val="0"/>
          <w:highlight w:val="none"/>
          <w:lang w:val="en-US" w:eastAsia="zh-CN"/>
        </w:rPr>
        <w:t>如需更换人员须经采购人批准</w:t>
      </w:r>
      <w:r>
        <w:rPr>
          <w:rFonts w:hint="eastAsia" w:ascii="宋体" w:hAnsi="宋体" w:eastAsia="宋体" w:cs="宋体"/>
          <w:b w:val="0"/>
          <w:bCs w:val="0"/>
          <w:color w:val="000000"/>
          <w:kern w:val="0"/>
          <w:highlight w:val="none"/>
        </w:rPr>
        <w:t>。</w:t>
      </w:r>
    </w:p>
    <w:p w14:paraId="218D8948">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highlight w:val="none"/>
        </w:rPr>
      </w:pPr>
      <w:r>
        <w:rPr>
          <w:rFonts w:hint="eastAsia" w:ascii="宋体" w:hAnsi="宋体" w:eastAsia="宋体" w:cs="宋体"/>
          <w:b w:val="0"/>
          <w:bCs w:val="0"/>
          <w:color w:val="000000"/>
          <w:kern w:val="0"/>
          <w:highlight w:val="none"/>
        </w:rPr>
        <w:t>1.3施工项目部关键岗位人员在合同履行过程中必须持有相应的注册执业资格或岗位证书，且必须为承包人正式聘用的员工</w:t>
      </w:r>
      <w:r>
        <w:rPr>
          <w:rFonts w:hint="eastAsia" w:ascii="宋体" w:hAnsi="宋体" w:eastAsia="宋体" w:cs="宋体"/>
          <w:b w:val="0"/>
          <w:bCs w:val="0"/>
          <w:color w:val="000000"/>
          <w:kern w:val="0"/>
          <w:highlight w:val="none"/>
          <w:lang w:eastAsia="zh-CN"/>
        </w:rPr>
        <w:t>并缴纳社保</w:t>
      </w:r>
      <w:r>
        <w:rPr>
          <w:rFonts w:hint="eastAsia" w:ascii="宋体" w:hAnsi="宋体" w:eastAsia="宋体" w:cs="宋体"/>
          <w:b w:val="0"/>
          <w:bCs w:val="0"/>
          <w:color w:val="000000"/>
          <w:kern w:val="0"/>
          <w:highlight w:val="none"/>
        </w:rPr>
        <w:t>，采购人可以随时检查，一经发现现场人员与证书人员不一致</w:t>
      </w:r>
      <w:r>
        <w:rPr>
          <w:rFonts w:hint="eastAsia" w:ascii="宋体" w:hAnsi="宋体" w:eastAsia="宋体" w:cs="宋体"/>
          <w:b w:val="0"/>
          <w:bCs w:val="0"/>
          <w:color w:val="000000"/>
          <w:kern w:val="0"/>
          <w:highlight w:val="none"/>
          <w:lang w:eastAsia="zh-CN"/>
        </w:rPr>
        <w:t>或不在岗情况的</w:t>
      </w:r>
      <w:r>
        <w:rPr>
          <w:rFonts w:hint="eastAsia" w:ascii="宋体" w:hAnsi="宋体" w:eastAsia="宋体" w:cs="宋体"/>
          <w:b w:val="0"/>
          <w:bCs w:val="0"/>
          <w:color w:val="000000"/>
          <w:kern w:val="0"/>
          <w:highlight w:val="none"/>
        </w:rPr>
        <w:t>的，采购人有权追究承包人</w:t>
      </w:r>
      <w:r>
        <w:rPr>
          <w:rFonts w:hint="eastAsia" w:ascii="宋体" w:hAnsi="宋体" w:eastAsia="宋体" w:cs="宋体"/>
          <w:b w:val="0"/>
          <w:bCs w:val="0"/>
          <w:color w:val="000000"/>
          <w:kern w:val="0"/>
          <w:highlight w:val="none"/>
          <w:lang w:eastAsia="zh-CN"/>
        </w:rPr>
        <w:t>每人次</w:t>
      </w:r>
      <w:r>
        <w:rPr>
          <w:rFonts w:hint="eastAsia" w:ascii="宋体" w:hAnsi="宋体" w:eastAsia="宋体" w:cs="宋体"/>
          <w:b w:val="0"/>
          <w:bCs w:val="0"/>
          <w:color w:val="000000"/>
          <w:kern w:val="0"/>
          <w:highlight w:val="none"/>
          <w:lang w:val="en-US" w:eastAsia="zh-CN"/>
        </w:rPr>
        <w:t>1000元</w:t>
      </w:r>
      <w:r>
        <w:rPr>
          <w:rFonts w:hint="eastAsia" w:ascii="宋体" w:hAnsi="宋体" w:eastAsia="宋体" w:cs="宋体"/>
          <w:b w:val="0"/>
          <w:bCs w:val="0"/>
          <w:color w:val="000000"/>
          <w:kern w:val="0"/>
          <w:highlight w:val="none"/>
        </w:rPr>
        <w:t>违约责任</w:t>
      </w:r>
      <w:r>
        <w:rPr>
          <w:rFonts w:hint="eastAsia" w:ascii="宋体" w:hAnsi="宋体" w:eastAsia="宋体" w:cs="宋体"/>
          <w:b w:val="0"/>
          <w:bCs w:val="0"/>
          <w:color w:val="000000"/>
          <w:kern w:val="0"/>
          <w:highlight w:val="none"/>
          <w:lang w:eastAsia="zh-CN"/>
        </w:rPr>
        <w:t>，如超过</w:t>
      </w:r>
      <w:r>
        <w:rPr>
          <w:rFonts w:hint="eastAsia" w:ascii="宋体" w:hAnsi="宋体" w:eastAsia="宋体" w:cs="宋体"/>
          <w:b w:val="0"/>
          <w:bCs w:val="0"/>
          <w:color w:val="000000"/>
          <w:kern w:val="0"/>
          <w:highlight w:val="none"/>
          <w:lang w:val="en-US" w:eastAsia="zh-CN"/>
        </w:rPr>
        <w:t>3次采购人有权终止合同并由违约方承担相应责任</w:t>
      </w:r>
      <w:r>
        <w:rPr>
          <w:rFonts w:hint="eastAsia" w:ascii="宋体" w:hAnsi="宋体" w:eastAsia="宋体" w:cs="宋体"/>
          <w:b w:val="0"/>
          <w:bCs w:val="0"/>
          <w:color w:val="000000"/>
          <w:kern w:val="0"/>
          <w:highlight w:val="none"/>
        </w:rPr>
        <w:t xml:space="preserve">。 </w:t>
      </w:r>
    </w:p>
    <w:p w14:paraId="391E472D">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rPr>
      </w:pPr>
      <w:r>
        <w:rPr>
          <w:rFonts w:hint="eastAsia" w:ascii="宋体" w:hAnsi="宋体" w:eastAsia="宋体" w:cs="宋体"/>
          <w:b w:val="0"/>
          <w:bCs w:val="0"/>
          <w:color w:val="000000"/>
          <w:kern w:val="0"/>
        </w:rPr>
        <w:t>2</w:t>
      </w:r>
      <w:r>
        <w:rPr>
          <w:rFonts w:hint="eastAsia" w:ascii="宋体" w:hAnsi="宋体" w:eastAsia="宋体" w:cs="宋体"/>
          <w:b w:val="0"/>
          <w:bCs w:val="0"/>
          <w:color w:val="000000"/>
          <w:kern w:val="0"/>
          <w:lang w:eastAsia="zh-CN"/>
        </w:rPr>
        <w:t>、</w:t>
      </w:r>
      <w:r>
        <w:rPr>
          <w:rFonts w:hint="eastAsia" w:ascii="宋体" w:hAnsi="宋体" w:eastAsia="宋体" w:cs="宋体"/>
          <w:b w:val="0"/>
          <w:bCs w:val="0"/>
          <w:color w:val="000000"/>
          <w:kern w:val="0"/>
        </w:rPr>
        <w:t>建筑材料运输、保管及保险</w:t>
      </w:r>
    </w:p>
    <w:p w14:paraId="60195812">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2.1成交人负责建筑材料到施工地点的全部运输，包括装卸及现场搬运等。</w:t>
      </w:r>
    </w:p>
    <w:p w14:paraId="26658083">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2.2成交人负责建筑材料在施工地点的保管，直至项目验收合格。</w:t>
      </w:r>
    </w:p>
    <w:p w14:paraId="625FB6F4">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2.3成交人负责其派出的施工人员的人身意外保险。</w:t>
      </w:r>
    </w:p>
    <w:p w14:paraId="6DD379DB">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b w:val="0"/>
          <w:bCs w:val="0"/>
          <w:color w:val="000000"/>
          <w:kern w:val="0"/>
        </w:rPr>
      </w:pPr>
      <w:r>
        <w:rPr>
          <w:rFonts w:hint="eastAsia" w:ascii="宋体" w:hAnsi="宋体" w:eastAsia="宋体" w:cs="宋体"/>
          <w:b w:val="0"/>
          <w:bCs w:val="0"/>
          <w:color w:val="000000"/>
          <w:kern w:val="0"/>
        </w:rPr>
        <w:t>3</w:t>
      </w:r>
      <w:r>
        <w:rPr>
          <w:rFonts w:hint="eastAsia" w:ascii="宋体" w:hAnsi="宋体" w:eastAsia="宋体" w:cs="宋体"/>
          <w:b w:val="0"/>
          <w:bCs w:val="0"/>
          <w:color w:val="000000"/>
          <w:kern w:val="0"/>
          <w:lang w:eastAsia="zh-CN"/>
        </w:rPr>
        <w:t>、</w:t>
      </w:r>
      <w:r>
        <w:rPr>
          <w:rFonts w:hint="eastAsia" w:ascii="宋体" w:hAnsi="宋体" w:eastAsia="宋体" w:cs="宋体"/>
          <w:b w:val="0"/>
          <w:bCs w:val="0"/>
          <w:color w:val="000000"/>
          <w:kern w:val="0"/>
        </w:rPr>
        <w:t>施工要求</w:t>
      </w:r>
    </w:p>
    <w:p w14:paraId="2B39A142">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3.1成交人须加强施工的组织管理，所有施工人员须遵守文明安全施工的有关规章制度，持证上岗。</w:t>
      </w:r>
    </w:p>
    <w:p w14:paraId="6973D052">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highlight w:val="none"/>
        </w:rPr>
      </w:pPr>
      <w:r>
        <w:rPr>
          <w:rFonts w:hint="eastAsia" w:ascii="宋体" w:hAnsi="宋体" w:eastAsia="宋体" w:cs="宋体"/>
          <w:color w:val="000000"/>
          <w:kern w:val="0"/>
          <w:highlight w:val="none"/>
        </w:rPr>
        <w:t>3.2成交供应商不得擅自变更拟派项目组成员，否则采购人有权取消其成交资格。主要施工管理人员离开施工现场须经采购人书面批准，否则</w:t>
      </w:r>
      <w:r>
        <w:rPr>
          <w:rFonts w:hint="eastAsia" w:ascii="宋体" w:hAnsi="宋体" w:eastAsia="宋体" w:cs="宋体"/>
          <w:color w:val="000000"/>
          <w:kern w:val="0"/>
          <w:highlight w:val="none"/>
          <w:lang w:eastAsia="zh-CN"/>
        </w:rPr>
        <w:t>按合同约定</w:t>
      </w:r>
      <w:r>
        <w:rPr>
          <w:rFonts w:hint="eastAsia" w:ascii="宋体" w:hAnsi="宋体" w:eastAsia="宋体" w:cs="宋体"/>
          <w:color w:val="000000"/>
          <w:kern w:val="0"/>
          <w:highlight w:val="none"/>
        </w:rPr>
        <w:t>向采购人支付违约金。</w:t>
      </w:r>
    </w:p>
    <w:p w14:paraId="638BF56D">
      <w:pPr>
        <w:keepNext w:val="0"/>
        <w:keepLines w:val="0"/>
        <w:pageBreakBefore w:val="0"/>
        <w:kinsoku/>
        <w:autoSpaceDE/>
        <w:autoSpaceDN/>
        <w:bidi w:val="0"/>
        <w:adjustRightInd/>
        <w:snapToGrid/>
        <w:spacing w:line="408"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3.3</w:t>
      </w:r>
      <w:r>
        <w:rPr>
          <w:rFonts w:hint="eastAsia" w:ascii="宋体" w:hAnsi="宋体" w:eastAsia="宋体" w:cs="宋体"/>
          <w:color w:val="000000"/>
          <w:kern w:val="0"/>
          <w:u w:val="none"/>
        </w:rPr>
        <w:t>成交供应商应根据《湖南省工资支付监督管理办法》的规定，健全农民工工资支付制度和工资支付的基础管理体系，建立按月支付工资制度，编制工资支付表（包括支付单位、支付时间、支付对象的姓名、工作天数、加班时间、应发的项目和金额、扣除的项目和金额等</w:t>
      </w:r>
      <w:r>
        <w:rPr>
          <w:rFonts w:hint="eastAsia" w:ascii="宋体" w:hAnsi="宋体" w:eastAsia="宋体" w:cs="宋体"/>
          <w:color w:val="000000"/>
          <w:kern w:val="0"/>
        </w:rPr>
        <w:t>），向农民工提供工资支付清单，办理工资支付的签收手续，并将工资支付记录按规定予以保存。</w:t>
      </w:r>
    </w:p>
    <w:p w14:paraId="0911C7BB">
      <w:pPr>
        <w:keepNext w:val="0"/>
        <w:keepLines w:val="0"/>
        <w:pageBreakBefore w:val="0"/>
        <w:widowControl w:val="0"/>
        <w:kinsoku/>
        <w:autoSpaceDE/>
        <w:autoSpaceDN/>
        <w:bidi w:val="0"/>
        <w:adjustRightInd/>
        <w:snapToGrid/>
        <w:spacing w:line="408" w:lineRule="auto"/>
        <w:ind w:firstLine="420" w:firstLineChars="200"/>
        <w:jc w:val="both"/>
        <w:rPr>
          <w:rFonts w:hint="eastAsia" w:ascii="Calibri" w:hAnsi="Calibri" w:eastAsia="宋体" w:cs="Times New Roman"/>
          <w:color w:val="000000"/>
          <w:kern w:val="2"/>
          <w:sz w:val="21"/>
          <w:szCs w:val="22"/>
          <w:lang w:val="en-US" w:eastAsia="zh-CN" w:bidi="ar-SA"/>
        </w:rPr>
      </w:pPr>
      <w:r>
        <w:rPr>
          <w:rFonts w:hint="eastAsia" w:ascii="宋体" w:hAnsi="宋体" w:eastAsia="宋体" w:cs="宋体"/>
          <w:color w:val="000000"/>
          <w:kern w:val="0"/>
          <w:sz w:val="21"/>
          <w:szCs w:val="22"/>
          <w:lang w:val="en-US" w:eastAsia="zh-CN" w:bidi="ar-SA"/>
        </w:rPr>
        <w:t>3.4成交供应商负责在工程施工、竣工及保修的整个过程中施工现场全部人员的安全。成交供应商必须为其雇佣的所有人员购买意外伤亡保险及工伤保险，成交供应商所雇佣人员发生意外伤、亡时，由成交供应商负责赔偿，与采购人无关。成交供应商施工中如出现安全事故，成交供应商应承担全部责任。若造成采购人或者第三方损失的，由成交供应商负责赔偿。</w:t>
      </w:r>
    </w:p>
    <w:p w14:paraId="413971D3">
      <w:pPr>
        <w:keepNext w:val="0"/>
        <w:keepLines w:val="0"/>
        <w:pageBreakBefore w:val="0"/>
        <w:widowControl w:val="0"/>
        <w:kinsoku/>
        <w:wordWrap w:val="0"/>
        <w:overflowPunct w:val="0"/>
        <w:topLinePunct/>
        <w:autoSpaceDE/>
        <w:autoSpaceDN/>
        <w:bidi w:val="0"/>
        <w:adjustRightInd/>
        <w:snapToGrid/>
        <w:spacing w:line="408" w:lineRule="auto"/>
        <w:ind w:right="0" w:rightChars="0" w:firstLine="422" w:firstLineChars="200"/>
        <w:jc w:val="left"/>
        <w:textAlignment w:val="top"/>
        <w:rPr>
          <w:rFonts w:hint="eastAsia" w:ascii="宋体" w:hAnsi="宋体" w:eastAsia="宋体" w:cs="宋体"/>
          <w:b/>
          <w:bCs/>
          <w:color w:val="000000"/>
          <w:szCs w:val="21"/>
          <w:highlight w:val="none"/>
          <w:lang w:val="en-US" w:eastAsia="zh-CN"/>
        </w:rPr>
      </w:pPr>
      <w:r>
        <w:rPr>
          <w:rFonts w:hint="eastAsia" w:ascii="宋体" w:hAnsi="宋体" w:eastAsia="宋体" w:cs="宋体"/>
          <w:b/>
          <w:bCs/>
          <w:color w:val="000000"/>
          <w:szCs w:val="21"/>
          <w:highlight w:val="none"/>
          <w:lang w:val="en-US" w:eastAsia="zh-CN"/>
        </w:rPr>
        <w:t>八、其他要求：</w:t>
      </w:r>
    </w:p>
    <w:p w14:paraId="1852AFDB">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宋体"/>
          <w:color w:val="000000"/>
          <w:szCs w:val="21"/>
          <w:highlight w:val="none"/>
          <w:lang w:val="en-US" w:eastAsia="zh-CN"/>
        </w:rPr>
        <w:t>1、验收要求：采购人根据《株洲市政府采购项目履约验收管理暂行办法》株财发【2020】9号的相关规定自行组织验收。</w:t>
      </w:r>
    </w:p>
    <w:p w14:paraId="478A5CBA">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2、招标控制价编制说明：</w:t>
      </w:r>
    </w:p>
    <w:p w14:paraId="67C102FB">
      <w:pPr>
        <w:keepNext w:val="0"/>
        <w:keepLines w:val="0"/>
        <w:pageBreakBefore w:val="0"/>
        <w:widowControl w:val="0"/>
        <w:kinsoku/>
        <w:autoSpaceDE/>
        <w:autoSpaceDN/>
        <w:bidi w:val="0"/>
        <w:adjustRightInd/>
        <w:snapToGrid/>
        <w:spacing w:line="408" w:lineRule="auto"/>
        <w:ind w:firstLine="420" w:firstLineChars="200"/>
        <w:jc w:val="both"/>
        <w:rPr>
          <w:rFonts w:hint="eastAsia" w:ascii="宋体" w:hAnsi="宋体" w:eastAsia="宋体" w:cs="宋体"/>
          <w:color w:val="000000"/>
          <w:kern w:val="0"/>
          <w:sz w:val="21"/>
          <w:szCs w:val="22"/>
          <w:lang w:val="en-US" w:eastAsia="zh-CN" w:bidi="ar-SA"/>
        </w:rPr>
      </w:pPr>
      <w:r>
        <w:rPr>
          <w:rFonts w:hint="eastAsia" w:ascii="宋体" w:hAnsi="宋体" w:eastAsia="宋体" w:cs="宋体"/>
          <w:color w:val="000000"/>
          <w:kern w:val="0"/>
          <w:sz w:val="21"/>
          <w:szCs w:val="22"/>
          <w:lang w:val="en-US" w:eastAsia="zh-CN" w:bidi="ar-SA"/>
        </w:rPr>
        <w:t>湖南省住房和城乡建设厅《关于执行(建设工程工程量清单计价标准)及配套工程量计算标准的通知》(湘建科函(2025)150号);《建设工程工程量清单计价标准》(GB/T50500-2024)及配套工程量计算标准;湖南省住房和城乡建设厅《关于发布2025(湖南省建设工程消耗量标准)的通知》(湘建科函(2025)151号);2025年《湖南省房屋建筑与装饰工程消耗量标准》、《湖南省安装工程消耗量标准》、《湖南省市政工程消耗量标准》:湖南省建设工程造价管理总站《关于发布2026年湖南省建设工程人工费指数的通知》(湘建价建(2026)20号文，株洲市人工费系数0.98);材料价格参照株洲市建设工程造价管理站发布的《株洲市建设工程造价信息》2026年3-4月材料价格计取;</w:t>
      </w:r>
    </w:p>
    <w:p w14:paraId="65CE2347">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3、本工程采用</w:t>
      </w:r>
      <w:r>
        <w:rPr>
          <w:rFonts w:hint="eastAsia" w:ascii="宋体" w:hAnsi="宋体" w:eastAsia="宋体" w:cs="Times New Roman"/>
          <w:b/>
          <w:bCs w:val="0"/>
          <w:color w:val="000000"/>
          <w:szCs w:val="21"/>
          <w:highlight w:val="none"/>
          <w:lang w:val="en-US" w:eastAsia="zh-CN"/>
        </w:rPr>
        <w:t>固定单价合同方式</w:t>
      </w:r>
      <w:r>
        <w:rPr>
          <w:rFonts w:hint="eastAsia" w:ascii="宋体" w:hAnsi="宋体" w:eastAsia="宋体" w:cs="Times New Roman"/>
          <w:bCs/>
          <w:color w:val="000000"/>
          <w:szCs w:val="21"/>
          <w:highlight w:val="none"/>
          <w:lang w:val="en-US" w:eastAsia="zh-CN"/>
        </w:rPr>
        <w:t>，工程量清单中所列工程数量是估算的预计数量，仅作为投标报价的共同基础，不能作为最终结算与支付的依据。竣工结算的工程量按合同双方在合同中约定应予计量且实际完成的工程量确定。供应商响应文件中出现清单综合单价异低，按响应文件清单价格执行，采购人不做调整。</w:t>
      </w:r>
    </w:p>
    <w:p w14:paraId="1D71071E">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4、本项目的竣工结算金额最终以相关行政职能部门的审定金额为准。</w:t>
      </w:r>
    </w:p>
    <w:p w14:paraId="24E93A53">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5、“工程量清单中标价的综合单价或金额，应包括所需人工费、材料费、施工机具使用费、企业管理费、利润，以及一定范围和幅度内风险的费用。所谓“一定范围和幅度内风险”是指合同约定的风险。</w:t>
      </w:r>
    </w:p>
    <w:p w14:paraId="3847B017">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6、已标价工程量清单中供应商没有填入单价或价格的项目，其价格视为已分摊在工程量清单中其他已标价的相关项目的综合单价或价格之中。</w:t>
      </w:r>
    </w:p>
    <w:p w14:paraId="585EFC85">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7、分部分项工程项目清单与措施项目清单计价表按下列要求报价：</w:t>
      </w:r>
    </w:p>
    <w:p w14:paraId="3DD8B918">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7.1项目编码、项目名称、项目特征描述、计量单位、工程量由采购人在谈判文件中统一给定，供应商应按照采购人提供的工程量清单，根据项目描述的内容及有关要求进行报价。</w:t>
      </w:r>
    </w:p>
    <w:p w14:paraId="46C4E688">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7.2应依据现行计价办法中关于综合单价的组成内容确定报价。</w:t>
      </w:r>
    </w:p>
    <w:p w14:paraId="79002C0C">
      <w:pPr>
        <w:keepNext w:val="0"/>
        <w:keepLines w:val="0"/>
        <w:pageBreakBefore w:val="0"/>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lang w:val="en-US" w:eastAsia="zh-CN"/>
        </w:rPr>
      </w:pPr>
      <w:r>
        <w:rPr>
          <w:rFonts w:hint="eastAsia" w:ascii="宋体" w:hAnsi="宋体" w:eastAsia="宋体" w:cs="Times New Roman"/>
          <w:bCs/>
          <w:color w:val="000000"/>
          <w:szCs w:val="21"/>
          <w:highlight w:val="none"/>
          <w:lang w:val="en-US" w:eastAsia="zh-CN"/>
        </w:rPr>
        <w:t>7.3各项目的综合单价组成中，各项目的人工、材料和机械台班消耗量由供应商按照其自身情况做充分的、竞争性考虑；材料消耗量包括损耗量。</w:t>
      </w:r>
    </w:p>
    <w:p w14:paraId="1EBC4C9D">
      <w:pPr>
        <w:keepNext w:val="0"/>
        <w:keepLines w:val="0"/>
        <w:pageBreakBefore w:val="0"/>
        <w:kinsoku/>
        <w:wordWrap w:val="0"/>
        <w:overflowPunct w:val="0"/>
        <w:topLinePunct/>
        <w:autoSpaceDE/>
        <w:autoSpaceDN/>
        <w:bidi w:val="0"/>
        <w:adjustRightInd/>
        <w:snapToGrid/>
        <w:spacing w:line="408" w:lineRule="auto"/>
        <w:ind w:right="0" w:rightChars="0" w:firstLine="422" w:firstLineChars="200"/>
        <w:jc w:val="left"/>
        <w:textAlignment w:val="top"/>
        <w:rPr>
          <w:rFonts w:hint="eastAsia" w:ascii="宋体" w:hAnsi="宋体" w:eastAsia="宋体" w:cs="宋体"/>
          <w:b/>
          <w:bCs/>
          <w:color w:val="000000"/>
          <w:szCs w:val="21"/>
          <w:highlight w:val="none"/>
          <w:lang w:val="en-US" w:eastAsia="zh-CN"/>
        </w:rPr>
      </w:pPr>
      <w:r>
        <w:rPr>
          <w:rFonts w:hint="eastAsia" w:ascii="宋体" w:hAnsi="宋体" w:eastAsia="宋体" w:cs="宋体"/>
          <w:b/>
          <w:bCs/>
          <w:color w:val="000000"/>
          <w:szCs w:val="21"/>
          <w:highlight w:val="none"/>
          <w:lang w:val="en-US" w:eastAsia="zh-CN"/>
        </w:rPr>
        <w:t>8、工程量清单：具体详见附件。（为方便评标，请供应商按照工程量清单顺序排列投标报价文件）</w:t>
      </w:r>
    </w:p>
    <w:p w14:paraId="6E0D77CE">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注：（1）供应商投标报价文件的投标总价扉页、投标报价填报说明、工程项目清单汇总表、单位工程清单汇总表都应由注册造价工程师签字并加盖其执业专用章，同时将该造价师注册证书复印件附在其响应文件中。注册造价工程师属供应商本单位的，其注册单位名称应与供应商名称一致。如委托他人编制投标报价，应提供委托合同（协议书）复印件，同时由被委托人的注册造价工程师签字并盖其执业专用章，签字盖章的注册造价工程师的注册单位名称应当与被委托人名称一致。未按本规定提供的投标报价文件无效。</w:t>
      </w:r>
    </w:p>
    <w:p w14:paraId="5E4B4CF9">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color w:val="000000"/>
          <w:szCs w:val="21"/>
          <w:highlight w:val="yellow"/>
          <w:lang w:val="en-US" w:eastAsia="zh-CN"/>
        </w:rPr>
      </w:pPr>
      <w:r>
        <w:rPr>
          <w:rFonts w:hint="eastAsia" w:ascii="宋体" w:hAnsi="宋体" w:eastAsia="宋体" w:cs="宋体"/>
          <w:color w:val="000000"/>
          <w:szCs w:val="21"/>
          <w:highlight w:val="none"/>
          <w:lang w:val="en-US" w:eastAsia="zh-CN"/>
        </w:rPr>
        <w:t>（2）暂列金额、专业工程暂估价、暂估（定）综合单价及暂估材料单价部分（详见工程量清单）供应商不能更改，否则其编制的投标报价文件无效。</w:t>
      </w:r>
    </w:p>
    <w:p w14:paraId="7D163B0C">
      <w:pPr>
        <w:keepNext w:val="0"/>
        <w:keepLines w:val="0"/>
        <w:pageBreakBefore w:val="0"/>
        <w:kinsoku/>
        <w:wordWrap w:val="0"/>
        <w:overflowPunct w:val="0"/>
        <w:topLinePunct/>
        <w:autoSpaceDE/>
        <w:autoSpaceDN/>
        <w:bidi w:val="0"/>
        <w:adjustRightInd/>
        <w:snapToGrid/>
        <w:spacing w:line="408" w:lineRule="auto"/>
        <w:ind w:right="0" w:rightChars="0" w:firstLine="422" w:firstLineChars="200"/>
        <w:jc w:val="left"/>
        <w:textAlignment w:val="top"/>
        <w:rPr>
          <w:rFonts w:hint="eastAsia" w:ascii="宋体" w:hAnsi="宋体" w:eastAsia="宋体" w:cs="宋体"/>
          <w:b/>
          <w:bCs/>
          <w:color w:val="000000"/>
          <w:szCs w:val="21"/>
          <w:highlight w:val="none"/>
          <w:lang w:val="en-US" w:eastAsia="zh-CN"/>
        </w:rPr>
      </w:pPr>
      <w:r>
        <w:rPr>
          <w:rFonts w:hint="eastAsia" w:ascii="宋体" w:hAnsi="宋体" w:eastAsia="宋体" w:cs="宋体"/>
          <w:b/>
          <w:bCs/>
          <w:color w:val="000000"/>
          <w:szCs w:val="21"/>
          <w:highlight w:val="none"/>
          <w:lang w:val="en-US" w:eastAsia="zh-CN"/>
        </w:rPr>
        <w:t>（3）工程造价咨询机构在同一招标项目中，只能接受一个供应商的委托编制投标报价文件，否则其编制的投标报价文件无效。</w:t>
      </w:r>
    </w:p>
    <w:p w14:paraId="78C2481C">
      <w:pPr>
        <w:keepNext w:val="0"/>
        <w:keepLines w:val="0"/>
        <w:pageBreakBefore w:val="0"/>
        <w:widowControl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（4）</w:t>
      </w:r>
      <w:r>
        <w:rPr>
          <w:rFonts w:hint="eastAsia" w:ascii="Times New Roman" w:hAnsi="Times New Roman" w:eastAsia="宋体" w:cs="Times New Roman"/>
          <w:color w:val="000000"/>
          <w:highlight w:val="none"/>
          <w:lang w:val="en-US" w:eastAsia="zh-CN"/>
        </w:rPr>
        <w:t>投标报价须符合本项目“工程量清单”规定的项目编码、项目名称、项目特征描述、</w:t>
      </w:r>
      <w:r>
        <w:rPr>
          <w:rFonts w:hint="eastAsia" w:ascii="宋体" w:hAnsi="宋体" w:eastAsia="宋体" w:cs="宋体"/>
          <w:color w:val="000000"/>
          <w:szCs w:val="21"/>
          <w:highlight w:val="none"/>
          <w:lang w:val="en-US" w:eastAsia="zh-CN"/>
        </w:rPr>
        <w:t>计量单位及工程量，未按本规定提供的投标报价文件无效。</w:t>
      </w:r>
    </w:p>
    <w:p w14:paraId="7BA9913D">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Times New Roman" w:hAnsi="Times New Roman" w:eastAsia="宋体" w:cs="Times New Roman"/>
          <w:color w:val="000000"/>
          <w:highlight w:val="none"/>
          <w:lang w:val="en-US" w:eastAsia="zh-CN"/>
        </w:rPr>
      </w:pPr>
      <w:r>
        <w:rPr>
          <w:rFonts w:hint="eastAsia" w:ascii="宋体" w:hAnsi="宋体" w:eastAsia="宋体" w:cs="宋体"/>
          <w:b w:val="0"/>
          <w:bCs w:val="0"/>
          <w:color w:val="000000"/>
          <w:szCs w:val="21"/>
          <w:highlight w:val="none"/>
          <w:lang w:val="en-US" w:eastAsia="zh-CN"/>
        </w:rPr>
        <w:t>9、技术标准及要求：</w:t>
      </w:r>
      <w:r>
        <w:rPr>
          <w:rFonts w:hint="eastAsia" w:ascii="宋体" w:hAnsi="宋体" w:eastAsia="宋体" w:cs="宋体"/>
          <w:color w:val="000000"/>
          <w:szCs w:val="21"/>
          <w:highlight w:val="none"/>
          <w:lang w:val="en-US" w:eastAsia="zh-CN"/>
        </w:rPr>
        <w:t>根据设计文件的要求，本采购工程项目的材料、施工须达到现行中华人民共和国以及省、自治区、直辖市或行业的工程建设标准、规范的要求，未尽技术规范，按国家现行施工质量、验收规范执行。</w:t>
      </w:r>
    </w:p>
    <w:p w14:paraId="5BBB90D0">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10、付款要求及方式：</w:t>
      </w:r>
    </w:p>
    <w:p w14:paraId="039194C0">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（1）付款采用银行转账方式，凭正式税务发票。</w:t>
      </w:r>
    </w:p>
    <w:p w14:paraId="4B32463E">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（2）工程款支付：按合同约定执行。</w:t>
      </w:r>
    </w:p>
    <w:p w14:paraId="565F848C">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（3）在施工中如发生设计变更及工程隐蔽前，事先通知相关部门共同核定，按程序及规定呈报相应部门及领导批示后才能作为结算依据。</w:t>
      </w:r>
    </w:p>
    <w:p w14:paraId="2C527FF0">
      <w:pPr>
        <w:keepNext w:val="0"/>
        <w:keepLines w:val="0"/>
        <w:pageBreakBefore w:val="0"/>
        <w:widowControl/>
        <w:kinsoku/>
        <w:autoSpaceDE/>
        <w:autoSpaceDN/>
        <w:bidi w:val="0"/>
        <w:adjustRightInd/>
        <w:snapToGrid/>
        <w:spacing w:before="0" w:line="408" w:lineRule="auto"/>
        <w:ind w:right="0" w:rightChars="0" w:firstLine="420" w:firstLineChars="200"/>
        <w:jc w:val="left"/>
        <w:rPr>
          <w:rFonts w:hint="eastAsia" w:ascii="宋体" w:hAnsi="宋体" w:eastAsia="宋体" w:cs="Times New Roman"/>
          <w:bCs/>
          <w:color w:val="000000"/>
          <w:szCs w:val="21"/>
          <w:highlight w:val="none"/>
        </w:rPr>
      </w:pPr>
      <w:r>
        <w:rPr>
          <w:rFonts w:hint="eastAsia" w:ascii="宋体" w:hAnsi="宋体" w:eastAsia="宋体" w:cs="Times New Roman"/>
          <w:bCs/>
          <w:color w:val="000000"/>
          <w:szCs w:val="21"/>
          <w:highlight w:val="none"/>
          <w:lang w:val="en-US" w:eastAsia="zh-CN"/>
        </w:rPr>
        <w:t>11、为有效杜绝以次充好、虚假响应等行为，采购人有权保留对供应商提供的相关证明材料进行验证的权利；如提供虚假材料谋取中标或中标后成交供应商拒绝与采购人签订合同的，采购人将上报财政部门，依照《中华人民共和国政府采购法》和《中华人民共和国政府采购法实施条例》的规定追究其法律责任，取消中标资格，上缴谈判保证金至本级财政国库，承担采购人因此所造成的一切损失。</w:t>
      </w:r>
    </w:p>
    <w:p w14:paraId="00573C21">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Times New Roman" w:hAnsi="Times New Roman" w:eastAsia="宋体" w:cs="Times New Roman"/>
          <w:b w:val="0"/>
          <w:bCs w:val="0"/>
          <w:color w:val="000000"/>
          <w:highlight w:val="none"/>
        </w:rPr>
      </w:pPr>
      <w:r>
        <w:rPr>
          <w:rFonts w:hint="eastAsia" w:ascii="宋体" w:hAnsi="宋体" w:eastAsia="宋体" w:cs="Times New Roman"/>
          <w:bCs/>
          <w:color w:val="000000"/>
          <w:szCs w:val="21"/>
          <w:highlight w:val="none"/>
          <w:lang w:val="en-US" w:eastAsia="zh-CN"/>
        </w:rPr>
        <w:t>12、</w:t>
      </w:r>
      <w:r>
        <w:rPr>
          <w:rFonts w:hint="eastAsia" w:ascii="Times New Roman" w:hAnsi="Times New Roman" w:eastAsia="宋体" w:cs="Times New Roman"/>
          <w:b w:val="0"/>
          <w:bCs w:val="0"/>
          <w:color w:val="000000"/>
          <w:highlight w:val="none"/>
          <w:lang w:val="en-US" w:eastAsia="zh-CN"/>
        </w:rPr>
        <w:t>中</w:t>
      </w:r>
      <w:r>
        <w:rPr>
          <w:rFonts w:hint="eastAsia" w:ascii="Times New Roman" w:hAnsi="Times New Roman" w:eastAsia="宋体" w:cs="Times New Roman"/>
          <w:b w:val="0"/>
          <w:bCs w:val="0"/>
          <w:color w:val="000000"/>
          <w:highlight w:val="none"/>
        </w:rPr>
        <w:t>标后、合同签订前，</w:t>
      </w:r>
      <w:r>
        <w:rPr>
          <w:rFonts w:hint="eastAsia" w:ascii="Times New Roman" w:hAnsi="Times New Roman" w:eastAsia="宋体" w:cs="Times New Roman"/>
          <w:b w:val="0"/>
          <w:bCs w:val="0"/>
          <w:color w:val="000000"/>
          <w:highlight w:val="none"/>
          <w:lang w:val="en-US" w:eastAsia="zh-CN"/>
        </w:rPr>
        <w:t>采购人</w:t>
      </w:r>
      <w:r>
        <w:rPr>
          <w:rFonts w:hint="eastAsia" w:ascii="Times New Roman" w:hAnsi="Times New Roman" w:eastAsia="宋体" w:cs="Times New Roman"/>
          <w:b w:val="0"/>
          <w:bCs w:val="0"/>
          <w:color w:val="000000"/>
          <w:highlight w:val="none"/>
        </w:rPr>
        <w:t>将对中标人投标报价进行清标，中标人有不平衡报价的，将依据株政办发〔2024〕2 号文相关规定进行修正。本</w:t>
      </w:r>
      <w:r>
        <w:rPr>
          <w:rFonts w:hint="eastAsia" w:ascii="Times New Roman" w:hAnsi="Times New Roman" w:eastAsia="宋体" w:cs="Times New Roman"/>
          <w:b w:val="0"/>
          <w:bCs w:val="0"/>
          <w:color w:val="000000"/>
          <w:highlight w:val="none"/>
          <w:lang w:val="en-US" w:eastAsia="zh-CN"/>
        </w:rPr>
        <w:t>采购</w:t>
      </w:r>
      <w:r>
        <w:rPr>
          <w:rFonts w:hint="eastAsia" w:ascii="Times New Roman" w:hAnsi="Times New Roman" w:eastAsia="宋体" w:cs="Times New Roman"/>
          <w:b w:val="0"/>
          <w:bCs w:val="0"/>
          <w:color w:val="000000"/>
          <w:highlight w:val="none"/>
        </w:rPr>
        <w:t>项目同时公布有清单项目综合单价基准价，该基准价仅作为修正不平衡报价的基准，不作为否决投标报价的依据。</w:t>
      </w:r>
    </w:p>
    <w:p w14:paraId="33DD9DF5">
      <w:pPr>
        <w:keepNext w:val="0"/>
        <w:keepLines w:val="0"/>
        <w:pageBreakBefore w:val="0"/>
        <w:kinsoku/>
        <w:wordWrap w:val="0"/>
        <w:overflowPunct w:val="0"/>
        <w:topLinePunct/>
        <w:autoSpaceDE/>
        <w:autoSpaceDN/>
        <w:bidi w:val="0"/>
        <w:adjustRightInd/>
        <w:snapToGrid/>
        <w:spacing w:line="408" w:lineRule="auto"/>
        <w:ind w:right="0" w:rightChars="0" w:firstLine="420" w:firstLineChars="200"/>
        <w:jc w:val="left"/>
        <w:textAlignment w:val="top"/>
        <w:rPr>
          <w:rFonts w:hint="eastAsia" w:ascii="宋体" w:hAnsi="宋体" w:eastAsia="宋体" w:cs="Times New Roman"/>
          <w:b/>
          <w:bCs w:val="0"/>
          <w:color w:val="000000"/>
          <w:szCs w:val="21"/>
          <w:highlight w:val="none"/>
        </w:rPr>
      </w:pPr>
      <w:r>
        <w:rPr>
          <w:rFonts w:hint="eastAsia" w:ascii="宋体" w:hAnsi="宋体" w:eastAsia="宋体" w:cs="Times New Roman"/>
          <w:bCs/>
          <w:color w:val="000000"/>
          <w:szCs w:val="21"/>
          <w:highlight w:val="none"/>
        </w:rPr>
        <w:t>对于上述项目要求，供应商应在响应文件中进行回应，作出承诺及说明</w:t>
      </w:r>
      <w:r>
        <w:rPr>
          <w:rFonts w:hint="eastAsia" w:ascii="宋体" w:hAnsi="宋体" w:eastAsia="宋体" w:cs="Times New Roman"/>
          <w:bCs/>
          <w:color w:val="000000"/>
          <w:szCs w:val="21"/>
          <w:highlight w:val="none"/>
          <w:lang w:eastAsia="zh-CN"/>
        </w:rPr>
        <w:t>。</w:t>
      </w:r>
    </w:p>
    <w:p w14:paraId="104F238D">
      <w:bookmarkStart w:id="30" w:name="_GoBack"/>
      <w:bookmarkEnd w:id="3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04DBE"/>
    <w:rsid w:val="2DC04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2026-07-10T06:56:00Z</dcterms:created>
  <dc:creator>Administrator</dc:creator>
  <cp:lastModifiedBy>Administrator</cp:lastModifiedBy>
  <dcterms:modified xsi:type="dcterms:W3CDTF">2026-07-10T06:56:36Z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86DA697D18934FD7B500FFC04194C8DC_11</vt:lpwstr>
  </property>
  <property fmtid="{D5CDD505-2E9C-101B-9397-08002B2CF9AE}" pid="4" name="KSOTemplateDocerSaveRecord">
    <vt:lpwstr>eyJoZGlkIjoiMzZjMjc0ZGNiMjZhOGZhZDE1ZjMyY2I2NTNmZWY1MWIiLCJ1c2VySWQiOiIyNzU3MzgxOTQifQ==</vt:lpwstr>
  </property>
</Properties>
</file>